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0F2F" w:rsidRDefault="004A66EF">
      <w:pPr>
        <w:pStyle w:val="af8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Пояснительная записка к предложению-заявке на разработку</w:t>
      </w:r>
    </w:p>
    <w:p w:rsidR="00AB0F2F" w:rsidRDefault="004A66EF">
      <w:pPr>
        <w:pStyle w:val="af8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proofErr w:type="gramStart"/>
      <w:r>
        <w:rPr>
          <w:b/>
          <w:color w:val="000000"/>
          <w:sz w:val="28"/>
          <w:szCs w:val="28"/>
        </w:rPr>
        <w:t>СТ</w:t>
      </w:r>
      <w:proofErr w:type="gramEnd"/>
      <w:r>
        <w:rPr>
          <w:b/>
          <w:color w:val="000000"/>
          <w:sz w:val="28"/>
          <w:szCs w:val="28"/>
        </w:rPr>
        <w:t xml:space="preserve"> РК «Лаборатории медицинские. Применение </w:t>
      </w:r>
      <w:r w:rsidR="00184B27" w:rsidRPr="00184B27">
        <w:rPr>
          <w:b/>
          <w:color w:val="000000"/>
          <w:sz w:val="28"/>
          <w:szCs w:val="28"/>
        </w:rPr>
        <w:t xml:space="preserve">принципов менеджмента рисков </w:t>
      </w:r>
      <w:bookmarkStart w:id="0" w:name="_GoBack"/>
      <w:bookmarkEnd w:id="0"/>
      <w:r>
        <w:rPr>
          <w:b/>
          <w:color w:val="000000"/>
          <w:sz w:val="28"/>
          <w:szCs w:val="28"/>
        </w:rPr>
        <w:t xml:space="preserve">в медицинских лабораториях» </w:t>
      </w:r>
    </w:p>
    <w:p w:rsidR="00AB0F2F" w:rsidRDefault="004A66EF">
      <w:pPr>
        <w:pStyle w:val="af8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(Взамен </w:t>
      </w:r>
      <w:proofErr w:type="gramStart"/>
      <w:r>
        <w:rPr>
          <w:b/>
          <w:color w:val="000000"/>
          <w:sz w:val="28"/>
          <w:szCs w:val="28"/>
        </w:rPr>
        <w:t>СТ</w:t>
      </w:r>
      <w:proofErr w:type="gramEnd"/>
      <w:r>
        <w:rPr>
          <w:b/>
          <w:color w:val="000000"/>
          <w:sz w:val="28"/>
          <w:szCs w:val="28"/>
        </w:rPr>
        <w:t xml:space="preserve"> РК ISO/TS 22367-2016)</w:t>
      </w:r>
    </w:p>
    <w:p w:rsidR="00AB0F2F" w:rsidRDefault="00AB0F2F">
      <w:pPr>
        <w:pStyle w:val="af8"/>
        <w:spacing w:before="0" w:beforeAutospacing="0" w:after="0" w:afterAutospacing="0"/>
        <w:ind w:firstLine="567"/>
        <w:jc w:val="center"/>
        <w:rPr>
          <w:b/>
          <w:color w:val="000000"/>
          <w:sz w:val="28"/>
          <w:szCs w:val="28"/>
        </w:rPr>
      </w:pPr>
    </w:p>
    <w:p w:rsidR="00AB0F2F" w:rsidRDefault="004A66EF">
      <w:pPr>
        <w:pStyle w:val="af8"/>
        <w:spacing w:before="0" w:beforeAutospacing="0" w:after="0" w:afterAutospacing="0"/>
        <w:ind w:firstLine="567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1)</w:t>
      </w:r>
      <w:r>
        <w:rPr>
          <w:b/>
          <w:color w:val="000000"/>
          <w:sz w:val="28"/>
          <w:szCs w:val="28"/>
        </w:rPr>
        <w:tab/>
        <w:t>сведения о необходимости и целесообразности разработки документов по стандартизации, в том числе при действии аналогичных документов по стандартизации</w:t>
      </w:r>
    </w:p>
    <w:p w:rsidR="00AB0F2F" w:rsidRDefault="004A66EF">
      <w:pPr>
        <w:ind w:firstLine="567"/>
        <w:jc w:val="both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 xml:space="preserve">Разработка </w:t>
      </w:r>
      <w:r>
        <w:rPr>
          <w:color w:val="000000"/>
          <w:sz w:val="28"/>
          <w:szCs w:val="28"/>
          <w:lang w:val="kk-KZ"/>
        </w:rPr>
        <w:t xml:space="preserve">основополагающего стандарта </w:t>
      </w:r>
      <w:r>
        <w:rPr>
          <w:color w:val="000000"/>
          <w:sz w:val="28"/>
          <w:szCs w:val="28"/>
        </w:rPr>
        <w:t xml:space="preserve">необходима </w:t>
      </w:r>
      <w:r>
        <w:rPr>
          <w:sz w:val="28"/>
          <w:szCs w:val="28"/>
        </w:rPr>
        <w:t xml:space="preserve">для установления общих организационно-методических положений для медицинских лаборатории, которые </w:t>
      </w:r>
      <w:r>
        <w:rPr>
          <w:color w:val="000000"/>
          <w:sz w:val="28"/>
          <w:szCs w:val="28"/>
        </w:rPr>
        <w:t>определяют процесс для медицинской лаборатории по выявлению и управлению рисками для пациентов, лабораторных работников и поставщиков услуг, которые связаны с медицинскими лабораторными исследованиями.</w:t>
      </w:r>
      <w:proofErr w:type="gramEnd"/>
      <w:r>
        <w:rPr>
          <w:color w:val="000000"/>
          <w:sz w:val="28"/>
          <w:szCs w:val="28"/>
        </w:rPr>
        <w:t xml:space="preserve"> Разработка данного СТ РК </w:t>
      </w:r>
      <w:proofErr w:type="gramStart"/>
      <w:r>
        <w:rPr>
          <w:color w:val="000000"/>
          <w:sz w:val="28"/>
          <w:szCs w:val="28"/>
        </w:rPr>
        <w:t>позволит</w:t>
      </w:r>
      <w:proofErr w:type="gramEnd"/>
      <w:r>
        <w:rPr>
          <w:color w:val="000000"/>
          <w:sz w:val="28"/>
          <w:szCs w:val="28"/>
        </w:rPr>
        <w:t xml:space="preserve"> улучшит все аспекты обследований и услуг медицинской лаборатории, включая аспекты до и после обследования.</w:t>
      </w:r>
    </w:p>
    <w:p w:rsidR="00AB0F2F" w:rsidRDefault="004A66EF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Управление рисками медицинской лаборатории является плановым процессом и представляет собой важную часть деятельности в области предупреждающих и корректирующих действий, поскольку деятельность в медицинской лаборатории сопровождается рисками, которые могут влиять не только на пациентов, но и на деятельность персонала лаборатории, окружающую среду, общество.</w:t>
      </w:r>
    </w:p>
    <w:p w:rsidR="003544F2" w:rsidRPr="003544F2" w:rsidRDefault="003544F2" w:rsidP="003544F2">
      <w:pPr>
        <w:ind w:firstLine="567"/>
        <w:jc w:val="both"/>
        <w:rPr>
          <w:color w:val="000000"/>
          <w:sz w:val="28"/>
          <w:szCs w:val="28"/>
        </w:rPr>
      </w:pPr>
      <w:r w:rsidRPr="003544F2">
        <w:rPr>
          <w:color w:val="000000"/>
          <w:sz w:val="28"/>
          <w:szCs w:val="28"/>
          <w:lang w:val="kk-KZ"/>
        </w:rPr>
        <w:t xml:space="preserve">На сегодняшний день действует </w:t>
      </w:r>
      <w:r w:rsidRPr="003544F2">
        <w:rPr>
          <w:color w:val="000000"/>
          <w:sz w:val="28"/>
          <w:szCs w:val="28"/>
        </w:rPr>
        <w:t>СТ РК ISO/TS 22367-2016 «Лаборатории медицинские. Снижение</w:t>
      </w:r>
      <w:r w:rsidRPr="003544F2">
        <w:rPr>
          <w:color w:val="000000"/>
          <w:sz w:val="28"/>
          <w:szCs w:val="28"/>
          <w:lang w:val="en-US"/>
        </w:rPr>
        <w:t xml:space="preserve"> </w:t>
      </w:r>
      <w:r w:rsidRPr="003544F2">
        <w:rPr>
          <w:color w:val="000000"/>
          <w:sz w:val="28"/>
          <w:szCs w:val="28"/>
        </w:rPr>
        <w:t>ошибок</w:t>
      </w:r>
      <w:r w:rsidRPr="003544F2">
        <w:rPr>
          <w:color w:val="000000"/>
          <w:sz w:val="28"/>
          <w:szCs w:val="28"/>
          <w:lang w:val="en-US"/>
        </w:rPr>
        <w:t xml:space="preserve"> </w:t>
      </w:r>
      <w:r w:rsidRPr="003544F2">
        <w:rPr>
          <w:color w:val="000000"/>
          <w:sz w:val="28"/>
          <w:szCs w:val="28"/>
        </w:rPr>
        <w:t>посредством</w:t>
      </w:r>
      <w:r w:rsidRPr="003544F2">
        <w:rPr>
          <w:color w:val="000000"/>
          <w:sz w:val="28"/>
          <w:szCs w:val="28"/>
          <w:lang w:val="en-US"/>
        </w:rPr>
        <w:t xml:space="preserve"> </w:t>
      </w:r>
      <w:r w:rsidRPr="003544F2">
        <w:rPr>
          <w:color w:val="000000"/>
          <w:sz w:val="28"/>
          <w:szCs w:val="28"/>
        </w:rPr>
        <w:t>менеджмента</w:t>
      </w:r>
      <w:r w:rsidRPr="003544F2">
        <w:rPr>
          <w:color w:val="000000"/>
          <w:sz w:val="28"/>
          <w:szCs w:val="28"/>
          <w:lang w:val="en-US"/>
        </w:rPr>
        <w:t xml:space="preserve"> </w:t>
      </w:r>
      <w:r w:rsidRPr="003544F2">
        <w:rPr>
          <w:color w:val="000000"/>
          <w:sz w:val="28"/>
          <w:szCs w:val="28"/>
        </w:rPr>
        <w:t>риска</w:t>
      </w:r>
      <w:r w:rsidRPr="003544F2">
        <w:rPr>
          <w:color w:val="000000"/>
          <w:sz w:val="28"/>
          <w:szCs w:val="28"/>
          <w:lang w:val="en-US"/>
        </w:rPr>
        <w:t xml:space="preserve"> </w:t>
      </w:r>
      <w:r w:rsidRPr="003544F2">
        <w:rPr>
          <w:color w:val="000000"/>
          <w:sz w:val="28"/>
          <w:szCs w:val="28"/>
        </w:rPr>
        <w:t>и</w:t>
      </w:r>
      <w:r w:rsidRPr="003544F2">
        <w:rPr>
          <w:color w:val="000000"/>
          <w:sz w:val="28"/>
          <w:szCs w:val="28"/>
          <w:lang w:val="en-US"/>
        </w:rPr>
        <w:t xml:space="preserve"> </w:t>
      </w:r>
      <w:r w:rsidRPr="003544F2">
        <w:rPr>
          <w:color w:val="000000"/>
          <w:sz w:val="28"/>
          <w:szCs w:val="28"/>
        </w:rPr>
        <w:t>постоянного</w:t>
      </w:r>
      <w:r w:rsidRPr="003544F2">
        <w:rPr>
          <w:color w:val="000000"/>
          <w:sz w:val="28"/>
          <w:szCs w:val="28"/>
          <w:lang w:val="en-US"/>
        </w:rPr>
        <w:t xml:space="preserve"> </w:t>
      </w:r>
      <w:r w:rsidRPr="003544F2">
        <w:rPr>
          <w:color w:val="000000"/>
          <w:sz w:val="28"/>
          <w:szCs w:val="28"/>
        </w:rPr>
        <w:t>улучшения</w:t>
      </w:r>
      <w:r w:rsidRPr="003544F2">
        <w:rPr>
          <w:color w:val="000000"/>
          <w:sz w:val="28"/>
          <w:szCs w:val="28"/>
          <w:lang w:val="en-US"/>
        </w:rPr>
        <w:t>»,</w:t>
      </w:r>
      <w:r w:rsidRPr="003544F2">
        <w:rPr>
          <w:color w:val="000000"/>
          <w:sz w:val="28"/>
          <w:szCs w:val="28"/>
          <w:lang w:val="kk-KZ"/>
        </w:rPr>
        <w:t xml:space="preserve"> на основе </w:t>
      </w:r>
      <w:r w:rsidRPr="003544F2">
        <w:rPr>
          <w:iCs/>
          <w:color w:val="000000"/>
          <w:sz w:val="28"/>
          <w:szCs w:val="28"/>
          <w:lang w:val="en-US"/>
        </w:rPr>
        <w:t xml:space="preserve">ISO/TS 22367:2008 </w:t>
      </w:r>
      <w:r w:rsidRPr="003544F2">
        <w:rPr>
          <w:b/>
          <w:bCs/>
          <w:iCs/>
          <w:color w:val="000000"/>
          <w:sz w:val="28"/>
          <w:szCs w:val="28"/>
          <w:lang w:val="en-US"/>
        </w:rPr>
        <w:t>«</w:t>
      </w:r>
      <w:r w:rsidRPr="003544F2">
        <w:rPr>
          <w:iCs/>
          <w:color w:val="000000"/>
          <w:sz w:val="28"/>
          <w:szCs w:val="28"/>
          <w:lang w:val="en-US"/>
        </w:rPr>
        <w:t>Medical laboratories – Reduction of error through risk management and continual improvement».</w:t>
      </w:r>
      <w:r w:rsidRPr="003544F2">
        <w:rPr>
          <w:i/>
          <w:iCs/>
          <w:color w:val="000000"/>
          <w:sz w:val="28"/>
          <w:szCs w:val="28"/>
          <w:lang w:val="en-US"/>
        </w:rPr>
        <w:t xml:space="preserve"> </w:t>
      </w:r>
      <w:r w:rsidRPr="003544F2">
        <w:rPr>
          <w:iCs/>
          <w:color w:val="000000"/>
          <w:sz w:val="28"/>
          <w:szCs w:val="28"/>
        </w:rPr>
        <w:t>В</w:t>
      </w:r>
      <w:r w:rsidRPr="003544F2">
        <w:rPr>
          <w:color w:val="000000"/>
          <w:sz w:val="28"/>
          <w:szCs w:val="28"/>
          <w:lang w:val="kk-KZ"/>
        </w:rPr>
        <w:t xml:space="preserve"> связи с принятием новой версии ISO 22367:2020 Medical laboratories - Application of risk management to medical laboratories </w:t>
      </w:r>
      <w:r w:rsidRPr="003544F2">
        <w:rPr>
          <w:color w:val="000000"/>
          <w:sz w:val="28"/>
          <w:szCs w:val="28"/>
        </w:rPr>
        <w:t xml:space="preserve">(Медицинские лаборатории - Применение управления рисками в медицинских лабораториях), </w:t>
      </w:r>
      <w:r w:rsidRPr="003544F2">
        <w:rPr>
          <w:color w:val="000000"/>
          <w:sz w:val="28"/>
          <w:szCs w:val="28"/>
          <w:lang w:val="kk-KZ"/>
        </w:rPr>
        <w:t>необходима разработка национального стандарта на основе международного стандарта ISO 22367:2020</w:t>
      </w:r>
      <w:r w:rsidRPr="003544F2">
        <w:rPr>
          <w:color w:val="000000"/>
          <w:sz w:val="28"/>
          <w:szCs w:val="28"/>
        </w:rPr>
        <w:t>.</w:t>
      </w:r>
    </w:p>
    <w:p w:rsidR="00AB0F2F" w:rsidRDefault="004A66EF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Разработка национального стандарта необходим</w:t>
      </w:r>
      <w:r w:rsidR="003544F2"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</w:rPr>
        <w:t xml:space="preserve"> для поддержки выполнения требований СТ РК ISO 15189-2015 «Лаборатории медицинские. Требования к качеству и компетентности»</w:t>
      </w:r>
      <w:r w:rsidR="003544F2">
        <w:rPr>
          <w:color w:val="000000"/>
          <w:sz w:val="28"/>
          <w:szCs w:val="28"/>
        </w:rPr>
        <w:t xml:space="preserve">, который </w:t>
      </w:r>
      <w:r>
        <w:rPr>
          <w:color w:val="000000"/>
          <w:sz w:val="28"/>
          <w:szCs w:val="28"/>
        </w:rPr>
        <w:t>поможет лаборатори</w:t>
      </w:r>
      <w:r w:rsidR="003544F2">
        <w:rPr>
          <w:color w:val="000000"/>
          <w:sz w:val="28"/>
          <w:szCs w:val="28"/>
        </w:rPr>
        <w:t>ям</w:t>
      </w:r>
      <w:r>
        <w:rPr>
          <w:color w:val="000000"/>
          <w:sz w:val="28"/>
          <w:szCs w:val="28"/>
        </w:rPr>
        <w:t xml:space="preserve"> выявить факторы риска и провести их анализ, а также регистрировать и систематизировать полученные данные с целью снижения вероятности появления/повторения возможных ошибок, которые могут повлиять на достоверность результатов исследований.</w:t>
      </w:r>
    </w:p>
    <w:p w:rsidR="00AB0F2F" w:rsidRDefault="00AB0F2F">
      <w:pPr>
        <w:ind w:firstLine="567"/>
        <w:jc w:val="both"/>
        <w:rPr>
          <w:b/>
          <w:color w:val="000000"/>
          <w:sz w:val="28"/>
          <w:szCs w:val="28"/>
          <w:lang w:val="kk-KZ"/>
        </w:rPr>
      </w:pPr>
    </w:p>
    <w:p w:rsidR="00AB0F2F" w:rsidRDefault="004A66EF">
      <w:pPr>
        <w:pStyle w:val="af8"/>
        <w:spacing w:before="0" w:beforeAutospacing="0" w:after="0" w:afterAutospacing="0"/>
        <w:ind w:firstLine="567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2)</w:t>
      </w:r>
      <w:r>
        <w:rPr>
          <w:b/>
          <w:color w:val="000000"/>
          <w:sz w:val="28"/>
          <w:szCs w:val="28"/>
        </w:rPr>
        <w:tab/>
        <w:t>информация о заинтересованности потенциальных пользователей в разрабатываемом документе по стандартизации</w:t>
      </w:r>
    </w:p>
    <w:p w:rsidR="00AB0F2F" w:rsidRDefault="004A66EF">
      <w:pPr>
        <w:pStyle w:val="af8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Потенциальными пользователями стандарта являются - </w:t>
      </w:r>
      <w:r>
        <w:rPr>
          <w:sz w:val="28"/>
          <w:szCs w:val="28"/>
          <w:lang w:val="kk-KZ" w:eastAsia="en-US"/>
        </w:rPr>
        <w:t>Казахстанская Ассоциация Медицинских Лабораторий, НАО «Медицинский университет Караганды», медицинские лаборатории и другие субъекты национальной системы стандартизации</w:t>
      </w:r>
      <w:r>
        <w:rPr>
          <w:color w:val="000000"/>
          <w:sz w:val="28"/>
          <w:szCs w:val="28"/>
        </w:rPr>
        <w:t>.</w:t>
      </w:r>
    </w:p>
    <w:p w:rsidR="00AB0F2F" w:rsidRDefault="00AB0F2F">
      <w:pPr>
        <w:pStyle w:val="af8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</w:p>
    <w:p w:rsidR="00AB0F2F" w:rsidRDefault="00AB0F2F">
      <w:pPr>
        <w:pStyle w:val="af8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</w:p>
    <w:p w:rsidR="00AB0F2F" w:rsidRDefault="004A66EF">
      <w:pPr>
        <w:pStyle w:val="af8"/>
        <w:spacing w:before="0" w:beforeAutospacing="0" w:after="0" w:afterAutospacing="0"/>
        <w:ind w:firstLine="567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3)</w:t>
      </w:r>
      <w:r>
        <w:rPr>
          <w:b/>
          <w:color w:val="000000"/>
          <w:sz w:val="28"/>
          <w:szCs w:val="28"/>
        </w:rPr>
        <w:tab/>
        <w:t>сведения об объекте стандартизации и его характеристиках</w:t>
      </w:r>
    </w:p>
    <w:p w:rsidR="00AB0F2F" w:rsidRDefault="004A66EF">
      <w:pPr>
        <w:pStyle w:val="af8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настоящий стандарт определяет процесс для медицинской лаборатории по выявлению и управлению рисками для пациентов, лабораторных работников и поставщиков услуг, которые связаны с медицинскими лабораторными исследованиями. Проце</w:t>
      </w:r>
      <w:proofErr w:type="gramStart"/>
      <w:r>
        <w:rPr>
          <w:color w:val="000000"/>
          <w:sz w:val="28"/>
          <w:szCs w:val="28"/>
        </w:rPr>
        <w:t>сс вкл</w:t>
      </w:r>
      <w:proofErr w:type="gramEnd"/>
      <w:r>
        <w:rPr>
          <w:color w:val="000000"/>
          <w:sz w:val="28"/>
          <w:szCs w:val="28"/>
        </w:rPr>
        <w:t>ючает идентификацию, оценку, контроль и мониторинг рисков.</w:t>
      </w:r>
    </w:p>
    <w:p w:rsidR="00AB0F2F" w:rsidRDefault="004A66EF">
      <w:pPr>
        <w:pStyle w:val="af8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Требования этого документа применимы ко всем аспектам обследований и услуг медицинской лаборатории, включая аспекты до и после обследования, точную передачу результатов анализов в электронную медицинскую карту и другие технические и управленческие </w:t>
      </w:r>
      <w:proofErr w:type="gramStart"/>
      <w:r>
        <w:rPr>
          <w:color w:val="000000"/>
          <w:sz w:val="28"/>
          <w:szCs w:val="28"/>
        </w:rPr>
        <w:t>процессы</w:t>
      </w:r>
      <w:proofErr w:type="gramEnd"/>
      <w:r>
        <w:rPr>
          <w:color w:val="000000"/>
          <w:sz w:val="28"/>
          <w:szCs w:val="28"/>
        </w:rPr>
        <w:t xml:space="preserve"> описанные в ISO 15189.</w:t>
      </w:r>
    </w:p>
    <w:p w:rsidR="00AB0F2F" w:rsidRDefault="004A66EF">
      <w:pPr>
        <w:pStyle w:val="af8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настоящем стандарте не указаны допустимые уровни риска.</w:t>
      </w:r>
    </w:p>
    <w:p w:rsidR="00AB0F2F" w:rsidRDefault="004A66EF">
      <w:pPr>
        <w:pStyle w:val="af8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Этот документ не распространяется на риски, связанные с клиническими решениями после обследования, принимаемыми поставщиками медицинских услуг.</w:t>
      </w:r>
    </w:p>
    <w:p w:rsidR="00AB0F2F" w:rsidRDefault="004A66EF">
      <w:pPr>
        <w:pStyle w:val="af8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Этот документ не применяется к управлению рисками, влияющими на предприятия</w:t>
      </w:r>
      <w:r w:rsidR="002A1B48" w:rsidRPr="002A1B48">
        <w:t xml:space="preserve"> </w:t>
      </w:r>
      <w:r w:rsidR="002A1B48" w:rsidRPr="002A1B48">
        <w:rPr>
          <w:color w:val="000000"/>
          <w:sz w:val="28"/>
          <w:szCs w:val="28"/>
        </w:rPr>
        <w:t>медицински</w:t>
      </w:r>
      <w:r w:rsidR="002A1B48">
        <w:rPr>
          <w:color w:val="000000"/>
          <w:sz w:val="28"/>
          <w:szCs w:val="28"/>
        </w:rPr>
        <w:t>х</w:t>
      </w:r>
      <w:r w:rsidR="002A1B48" w:rsidRPr="002A1B48">
        <w:rPr>
          <w:color w:val="000000"/>
          <w:sz w:val="28"/>
          <w:szCs w:val="28"/>
        </w:rPr>
        <w:t xml:space="preserve"> лаборатор</w:t>
      </w:r>
      <w:r w:rsidR="002A1B48">
        <w:rPr>
          <w:color w:val="000000"/>
          <w:sz w:val="28"/>
          <w:szCs w:val="28"/>
        </w:rPr>
        <w:t>ий</w:t>
      </w:r>
      <w:r>
        <w:rPr>
          <w:color w:val="000000"/>
          <w:sz w:val="28"/>
          <w:szCs w:val="28"/>
        </w:rPr>
        <w:t>, которые рассматриваются в стандарте ISO 31000, например, деловые, экономические, правовые и нормативные риски.</w:t>
      </w:r>
    </w:p>
    <w:p w:rsidR="00AB0F2F" w:rsidRDefault="00AB0F2F">
      <w:pPr>
        <w:pStyle w:val="af8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</w:p>
    <w:p w:rsidR="00AB0F2F" w:rsidRDefault="004A66EF">
      <w:pPr>
        <w:pStyle w:val="af8"/>
        <w:spacing w:before="0" w:beforeAutospacing="0" w:after="0" w:afterAutospacing="0"/>
        <w:ind w:firstLine="567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4)</w:t>
      </w:r>
      <w:r>
        <w:rPr>
          <w:b/>
          <w:color w:val="000000"/>
          <w:sz w:val="28"/>
          <w:szCs w:val="28"/>
        </w:rPr>
        <w:tab/>
        <w:t>сведения об основной нормативной базе (первоисточнике)</w:t>
      </w:r>
    </w:p>
    <w:p w:rsidR="00AB0F2F" w:rsidRDefault="004A66EF">
      <w:pPr>
        <w:pStyle w:val="af8"/>
        <w:spacing w:before="0" w:before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качестве основной нормативной базы (первоисточника) предлагается </w:t>
      </w:r>
      <w:r>
        <w:rPr>
          <w:color w:val="000000"/>
          <w:sz w:val="28"/>
          <w:szCs w:val="28"/>
          <w:lang w:val="en-US"/>
        </w:rPr>
        <w:t>ISO</w:t>
      </w:r>
      <w:r>
        <w:rPr>
          <w:color w:val="000000"/>
          <w:sz w:val="28"/>
          <w:szCs w:val="28"/>
        </w:rPr>
        <w:t xml:space="preserve"> 22367:2020 «</w:t>
      </w:r>
      <w:r>
        <w:rPr>
          <w:color w:val="000000"/>
          <w:sz w:val="28"/>
          <w:szCs w:val="28"/>
          <w:lang w:val="en-US"/>
        </w:rPr>
        <w:t>Medical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en-US"/>
        </w:rPr>
        <w:t>laboratories</w:t>
      </w:r>
      <w:r>
        <w:rPr>
          <w:color w:val="000000"/>
          <w:sz w:val="28"/>
          <w:szCs w:val="28"/>
        </w:rPr>
        <w:t xml:space="preserve"> — </w:t>
      </w:r>
      <w:r>
        <w:rPr>
          <w:color w:val="000000"/>
          <w:sz w:val="28"/>
          <w:szCs w:val="28"/>
          <w:lang w:val="en-US"/>
        </w:rPr>
        <w:t>Application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en-US"/>
        </w:rPr>
        <w:t>of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en-US"/>
        </w:rPr>
        <w:t>risk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en-US"/>
        </w:rPr>
        <w:t>management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en-US"/>
        </w:rPr>
        <w:t>to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en-US"/>
        </w:rPr>
        <w:t>medical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en-US"/>
        </w:rPr>
        <w:t>laboratories</w:t>
      </w:r>
      <w:r>
        <w:rPr>
          <w:color w:val="000000"/>
          <w:sz w:val="28"/>
          <w:szCs w:val="28"/>
        </w:rPr>
        <w:t>» (</w:t>
      </w:r>
      <w:r>
        <w:rPr>
          <w:color w:val="000000"/>
          <w:sz w:val="28"/>
          <w:szCs w:val="28"/>
          <w:lang w:val="en-US"/>
        </w:rPr>
        <w:t>ISO</w:t>
      </w:r>
      <w:r>
        <w:rPr>
          <w:color w:val="000000"/>
          <w:sz w:val="28"/>
          <w:szCs w:val="28"/>
        </w:rPr>
        <w:t xml:space="preserve"> 22367:2020 Медицинские лаборатории - Применение управления рисками в медицинских лабораториях).</w:t>
      </w:r>
    </w:p>
    <w:p w:rsidR="00AB0F2F" w:rsidRDefault="004A66EF">
      <w:pPr>
        <w:pStyle w:val="af8"/>
        <w:spacing w:before="0" w:beforeAutospacing="0" w:after="0" w:afterAutospacing="0"/>
        <w:ind w:firstLine="567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5)</w:t>
      </w:r>
      <w:r>
        <w:rPr>
          <w:b/>
          <w:color w:val="000000"/>
          <w:sz w:val="28"/>
          <w:szCs w:val="28"/>
        </w:rPr>
        <w:tab/>
        <w:t>сведения о проведенных научно-исследовательских и опытно-конструкторских работ и полученных результатах (при их наличии)</w:t>
      </w:r>
    </w:p>
    <w:p w:rsidR="00AB0F2F" w:rsidRDefault="004A66EF">
      <w:pPr>
        <w:pStyle w:val="af8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Научно-исследовательских и опытно-конструкторских работ не проводилось.</w:t>
      </w:r>
    </w:p>
    <w:p w:rsidR="00AB0F2F" w:rsidRDefault="00AB0F2F">
      <w:pPr>
        <w:pStyle w:val="af8"/>
        <w:spacing w:before="0" w:beforeAutospacing="0" w:after="0" w:afterAutospacing="0"/>
        <w:ind w:firstLine="567"/>
        <w:jc w:val="both"/>
        <w:rPr>
          <w:color w:val="000000"/>
          <w:sz w:val="20"/>
          <w:szCs w:val="20"/>
        </w:rPr>
      </w:pPr>
    </w:p>
    <w:p w:rsidR="00AB0F2F" w:rsidRDefault="004A66EF">
      <w:pPr>
        <w:pStyle w:val="af8"/>
        <w:spacing w:before="0" w:beforeAutospacing="0" w:after="0" w:afterAutospacing="0"/>
        <w:ind w:firstLine="567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6)</w:t>
      </w:r>
      <w:r>
        <w:rPr>
          <w:b/>
          <w:color w:val="000000"/>
          <w:sz w:val="28"/>
          <w:szCs w:val="28"/>
        </w:rPr>
        <w:tab/>
        <w:t>информация об отсутствии или необходимости пересмотра/отмены документов по стандартизации, устанавливающих требования к данному объекту стандартизации</w:t>
      </w:r>
    </w:p>
    <w:p w:rsidR="00AB0F2F" w:rsidRDefault="004A66EF">
      <w:pPr>
        <w:pStyle w:val="af8"/>
        <w:spacing w:before="0" w:beforeAutospacing="0" w:after="0" w:afterAutospacing="0"/>
        <w:ind w:firstLine="567"/>
        <w:jc w:val="both"/>
        <w:rPr>
          <w:sz w:val="20"/>
          <w:szCs w:val="20"/>
        </w:rPr>
      </w:pPr>
      <w:r>
        <w:rPr>
          <w:sz w:val="28"/>
          <w:szCs w:val="28"/>
        </w:rPr>
        <w:t xml:space="preserve">При принятии ГОСТ необходимо отменить действие </w:t>
      </w:r>
      <w:proofErr w:type="gramStart"/>
      <w:r>
        <w:rPr>
          <w:color w:val="000000"/>
          <w:sz w:val="28"/>
          <w:szCs w:val="28"/>
        </w:rPr>
        <w:t>СТ</w:t>
      </w:r>
      <w:proofErr w:type="gramEnd"/>
      <w:r>
        <w:rPr>
          <w:color w:val="000000"/>
          <w:sz w:val="28"/>
          <w:szCs w:val="28"/>
        </w:rPr>
        <w:t xml:space="preserve"> РК ISO/TS 22367-2016 «Лаборатории медицинские. Снижение ошибок посредством менеджмента риска и постоянного улучшения».</w:t>
      </w:r>
    </w:p>
    <w:p w:rsidR="00AB0F2F" w:rsidRDefault="00AB0F2F">
      <w:pPr>
        <w:pStyle w:val="af8"/>
        <w:spacing w:before="0" w:beforeAutospacing="0" w:after="0" w:afterAutospacing="0"/>
        <w:ind w:firstLine="567"/>
        <w:jc w:val="both"/>
        <w:rPr>
          <w:sz w:val="20"/>
          <w:szCs w:val="20"/>
        </w:rPr>
      </w:pPr>
    </w:p>
    <w:p w:rsidR="00AB0F2F" w:rsidRDefault="00AB0F2F">
      <w:pPr>
        <w:pStyle w:val="af8"/>
        <w:spacing w:before="0" w:beforeAutospacing="0" w:after="0" w:afterAutospacing="0"/>
        <w:ind w:firstLine="567"/>
        <w:jc w:val="both"/>
        <w:rPr>
          <w:sz w:val="20"/>
          <w:szCs w:val="20"/>
        </w:rPr>
      </w:pPr>
    </w:p>
    <w:p w:rsidR="00AB0F2F" w:rsidRDefault="004A66EF">
      <w:pPr>
        <w:pStyle w:val="af8"/>
        <w:spacing w:before="0" w:beforeAutospacing="0" w:after="0" w:afterAutospacing="0"/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Заместитель </w:t>
      </w:r>
    </w:p>
    <w:p w:rsidR="00AB0F2F" w:rsidRDefault="004A66EF">
      <w:pPr>
        <w:pStyle w:val="af8"/>
        <w:spacing w:before="0" w:beforeAutospacing="0" w:after="0" w:afterAutospacing="0"/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Генерального директора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</w:t>
      </w:r>
      <w:r w:rsidR="008E7FA1">
        <w:rPr>
          <w:b/>
          <w:sz w:val="28"/>
          <w:szCs w:val="28"/>
        </w:rPr>
        <w:t>С</w:t>
      </w:r>
      <w:r>
        <w:rPr>
          <w:b/>
          <w:sz w:val="28"/>
          <w:szCs w:val="28"/>
        </w:rPr>
        <w:t xml:space="preserve">. </w:t>
      </w:r>
      <w:proofErr w:type="spellStart"/>
      <w:r w:rsidR="008E7FA1">
        <w:rPr>
          <w:b/>
          <w:sz w:val="28"/>
          <w:szCs w:val="28"/>
        </w:rPr>
        <w:t>Радаев</w:t>
      </w:r>
      <w:proofErr w:type="spellEnd"/>
    </w:p>
    <w:p w:rsidR="00AB0F2F" w:rsidRDefault="00AB0F2F">
      <w:pPr>
        <w:pStyle w:val="af8"/>
        <w:spacing w:before="0" w:beforeAutospacing="0" w:after="0" w:afterAutospacing="0"/>
        <w:ind w:firstLine="567"/>
        <w:jc w:val="both"/>
        <w:rPr>
          <w:b/>
          <w:sz w:val="20"/>
          <w:szCs w:val="20"/>
        </w:rPr>
      </w:pPr>
    </w:p>
    <w:p w:rsidR="00AB0F2F" w:rsidRDefault="00AB0F2F">
      <w:pPr>
        <w:pStyle w:val="af8"/>
        <w:spacing w:before="0" w:beforeAutospacing="0" w:after="0" w:afterAutospacing="0"/>
        <w:ind w:firstLine="567"/>
        <w:jc w:val="both"/>
        <w:rPr>
          <w:b/>
          <w:sz w:val="20"/>
          <w:szCs w:val="20"/>
        </w:rPr>
      </w:pPr>
    </w:p>
    <w:p w:rsidR="00AB0F2F" w:rsidRDefault="004A66EF">
      <w:pPr>
        <w:pStyle w:val="af8"/>
        <w:spacing w:before="0" w:beforeAutospacing="0" w:after="0" w:afterAutospacing="0"/>
        <w:ind w:firstLine="567"/>
        <w:jc w:val="both"/>
      </w:pPr>
      <w:r>
        <w:rPr>
          <w:b/>
          <w:sz w:val="28"/>
          <w:szCs w:val="28"/>
        </w:rPr>
        <w:t xml:space="preserve">Исполнитель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      </w:t>
      </w:r>
      <w:r w:rsidR="008E7FA1">
        <w:rPr>
          <w:b/>
          <w:sz w:val="28"/>
          <w:szCs w:val="28"/>
        </w:rPr>
        <w:t>А. Мусин</w:t>
      </w:r>
    </w:p>
    <w:sectPr w:rsidR="00AB0F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2DB9" w:rsidRDefault="00A82DB9">
      <w:r>
        <w:separator/>
      </w:r>
    </w:p>
  </w:endnote>
  <w:endnote w:type="continuationSeparator" w:id="0">
    <w:p w:rsidR="00A82DB9" w:rsidRDefault="00A82D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2DB9" w:rsidRDefault="00A82DB9">
      <w:r>
        <w:separator/>
      </w:r>
    </w:p>
  </w:footnote>
  <w:footnote w:type="continuationSeparator" w:id="0">
    <w:p w:rsidR="00A82DB9" w:rsidRDefault="00A82DB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0F2F"/>
    <w:rsid w:val="000100FD"/>
    <w:rsid w:val="00184B27"/>
    <w:rsid w:val="002A1B48"/>
    <w:rsid w:val="003544F2"/>
    <w:rsid w:val="004A66EF"/>
    <w:rsid w:val="00596993"/>
    <w:rsid w:val="008E7FA1"/>
    <w:rsid w:val="00986D14"/>
    <w:rsid w:val="00A82DB9"/>
    <w:rsid w:val="00AB0F2F"/>
    <w:rsid w:val="00DA0CB8"/>
    <w:rsid w:val="00DB7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F2F2F2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FFFFFF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FFFFFF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FFFFFF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FFFFFF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FFFFFF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FFFFF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band1Vert">
      <w:tblPr/>
      <w:tcPr>
        <w:shd w:val="clear" w:color="FFFFFF" w:fill="AEC4E0" w:themeFill="accent1" w:themeFillTint="75"/>
      </w:tcPr>
    </w:tblStylePr>
    <w:tblStylePr w:type="band1Horz">
      <w:tblPr/>
      <w:tcPr>
        <w:shd w:val="clear" w:color="FFFFFF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band1Vert">
      <w:tblPr/>
      <w:tcPr>
        <w:shd w:val="clear" w:color="FFFFFF" w:fill="E2AEAD" w:themeFill="accent2" w:themeFillTint="75"/>
      </w:tcPr>
    </w:tblStylePr>
    <w:tblStylePr w:type="band1Horz">
      <w:tblPr/>
      <w:tcPr>
        <w:shd w:val="clear" w:color="FFFFFF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band1Vert">
      <w:tblPr/>
      <w:tcPr>
        <w:shd w:val="clear" w:color="FFFFFF" w:fill="D0DFB2" w:themeFill="accent3" w:themeFillTint="75"/>
      </w:tcPr>
    </w:tblStylePr>
    <w:tblStylePr w:type="band1Horz">
      <w:tblPr/>
      <w:tcPr>
        <w:shd w:val="clear" w:color="FFFFFF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band1Vert">
      <w:tblPr/>
      <w:tcPr>
        <w:shd w:val="clear" w:color="FFFFFF" w:fill="C4B7D4" w:themeFill="accent4" w:themeFillTint="75"/>
      </w:tcPr>
    </w:tblStylePr>
    <w:tblStylePr w:type="band1Horz">
      <w:tblPr/>
      <w:tcPr>
        <w:shd w:val="clear" w:color="FFFFFF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band1Vert">
      <w:tblPr/>
      <w:tcPr>
        <w:shd w:val="clear" w:color="FFFFFF" w:fill="ACD8E4" w:themeFill="accent5" w:themeFillTint="75"/>
      </w:tcPr>
    </w:tblStylePr>
    <w:tblStylePr w:type="band1Horz">
      <w:tblPr/>
      <w:tcPr>
        <w:shd w:val="clear" w:color="FFFFFF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band1Vert">
      <w:tblPr/>
      <w:tcPr>
        <w:shd w:val="clear" w:color="FFFFFF" w:fill="FBCEAA" w:themeFill="accent6" w:themeFillTint="75"/>
      </w:tcPr>
    </w:tblStylePr>
    <w:tblStylePr w:type="band1Horz">
      <w:tblPr/>
      <w:tcPr>
        <w:shd w:val="clear" w:color="FFFFFF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tblPr/>
      <w:tcPr>
        <w:shd w:val="clear" w:color="FFFFFF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tblPr/>
      <w:tcPr>
        <w:shd w:val="clear" w:color="FFFFFF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tblPr/>
      <w:tcPr>
        <w:shd w:val="clear" w:color="FFFFFF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tblPr/>
      <w:tcPr>
        <w:shd w:val="clear" w:color="FFFFFF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tblPr/>
      <w:tcPr>
        <w:shd w:val="clear" w:color="FFFFFF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tblPr/>
      <w:tcPr>
        <w:shd w:val="clear" w:color="FFFFFF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FFFFFF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FFFFFF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FFFFFF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FFFFFF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FFFFFF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FFFFFF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FFFFFF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FFFFFF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FFFFFF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FFFFFF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FFFFFF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FFFFF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FFFFF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f1">
    <w:name w:val="footnote text"/>
    <w:basedOn w:val="a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Normal (Web)"/>
    <w:basedOn w:val="a"/>
    <w:pPr>
      <w:spacing w:before="100" w:beforeAutospacing="1" w:after="100" w:afterAutospacing="1"/>
    </w:pPr>
    <w:rPr>
      <w:lang w:eastAsia="ru-RU"/>
    </w:rPr>
  </w:style>
  <w:style w:type="character" w:styleId="af9">
    <w:name w:val="Hyperlink"/>
    <w:basedOn w:val="a0"/>
    <w:uiPriority w:val="99"/>
    <w:semiHidden/>
    <w:unhideWhenUsed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F2F2F2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FFFFFF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FFFFFF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FFFFFF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FFFFFF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FFFFFF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FFFFF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band1Vert">
      <w:tblPr/>
      <w:tcPr>
        <w:shd w:val="clear" w:color="FFFFFF" w:fill="AEC4E0" w:themeFill="accent1" w:themeFillTint="75"/>
      </w:tcPr>
    </w:tblStylePr>
    <w:tblStylePr w:type="band1Horz">
      <w:tblPr/>
      <w:tcPr>
        <w:shd w:val="clear" w:color="FFFFFF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band1Vert">
      <w:tblPr/>
      <w:tcPr>
        <w:shd w:val="clear" w:color="FFFFFF" w:fill="E2AEAD" w:themeFill="accent2" w:themeFillTint="75"/>
      </w:tcPr>
    </w:tblStylePr>
    <w:tblStylePr w:type="band1Horz">
      <w:tblPr/>
      <w:tcPr>
        <w:shd w:val="clear" w:color="FFFFFF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band1Vert">
      <w:tblPr/>
      <w:tcPr>
        <w:shd w:val="clear" w:color="FFFFFF" w:fill="D0DFB2" w:themeFill="accent3" w:themeFillTint="75"/>
      </w:tcPr>
    </w:tblStylePr>
    <w:tblStylePr w:type="band1Horz">
      <w:tblPr/>
      <w:tcPr>
        <w:shd w:val="clear" w:color="FFFFFF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band1Vert">
      <w:tblPr/>
      <w:tcPr>
        <w:shd w:val="clear" w:color="FFFFFF" w:fill="C4B7D4" w:themeFill="accent4" w:themeFillTint="75"/>
      </w:tcPr>
    </w:tblStylePr>
    <w:tblStylePr w:type="band1Horz">
      <w:tblPr/>
      <w:tcPr>
        <w:shd w:val="clear" w:color="FFFFFF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band1Vert">
      <w:tblPr/>
      <w:tcPr>
        <w:shd w:val="clear" w:color="FFFFFF" w:fill="ACD8E4" w:themeFill="accent5" w:themeFillTint="75"/>
      </w:tcPr>
    </w:tblStylePr>
    <w:tblStylePr w:type="band1Horz">
      <w:tblPr/>
      <w:tcPr>
        <w:shd w:val="clear" w:color="FFFFFF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band1Vert">
      <w:tblPr/>
      <w:tcPr>
        <w:shd w:val="clear" w:color="FFFFFF" w:fill="FBCEAA" w:themeFill="accent6" w:themeFillTint="75"/>
      </w:tcPr>
    </w:tblStylePr>
    <w:tblStylePr w:type="band1Horz">
      <w:tblPr/>
      <w:tcPr>
        <w:shd w:val="clear" w:color="FFFFFF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tblPr/>
      <w:tcPr>
        <w:shd w:val="clear" w:color="FFFFFF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tblPr/>
      <w:tcPr>
        <w:shd w:val="clear" w:color="FFFFFF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tblPr/>
      <w:tcPr>
        <w:shd w:val="clear" w:color="FFFFFF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tblPr/>
      <w:tcPr>
        <w:shd w:val="clear" w:color="FFFFFF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tblPr/>
      <w:tcPr>
        <w:shd w:val="clear" w:color="FFFFFF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tblPr/>
      <w:tcPr>
        <w:shd w:val="clear" w:color="FFFFFF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FFFFFF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FFFFFF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FFFFFF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FFFFFF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FFFFFF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FFFFFF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FFFFFF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FFFFFF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FFFFFF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FFFFFF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FFFFFF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FFFFF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FFFFF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f1">
    <w:name w:val="footnote text"/>
    <w:basedOn w:val="a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Normal (Web)"/>
    <w:basedOn w:val="a"/>
    <w:pPr>
      <w:spacing w:before="100" w:beforeAutospacing="1" w:after="100" w:afterAutospacing="1"/>
    </w:pPr>
    <w:rPr>
      <w:lang w:eastAsia="ru-RU"/>
    </w:rPr>
  </w:style>
  <w:style w:type="character" w:styleId="af9">
    <w:name w:val="Hyperlink"/>
    <w:basedOn w:val="a0"/>
    <w:uiPriority w:val="99"/>
    <w:semiHidden/>
    <w:unhideWhenUsed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678</Words>
  <Characters>3865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Анель Койлыбай</dc:creator>
  <cp:lastModifiedBy>Айтмухан Мусин</cp:lastModifiedBy>
  <cp:revision>6</cp:revision>
  <dcterms:created xsi:type="dcterms:W3CDTF">2021-04-06T10:46:00Z</dcterms:created>
  <dcterms:modified xsi:type="dcterms:W3CDTF">2021-04-28T03:34:00Z</dcterms:modified>
</cp:coreProperties>
</file>